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Right of general partner and former general partner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Right of general partner and former general partner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§1357. RIGHT OF GENERAL PARTNER AND FORMER GENERAL PARTNER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