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1367</w:t>
        <w:t xml:space="preserve">.  </w:t>
      </w:r>
      <w:r>
        <w:rPr>
          <w:b/>
        </w:rPr>
        <w:t xml:space="preserve">Right to distribution</w:t>
      </w:r>
    </w:p>
    <w:p>
      <w:pPr>
        <w:jc w:val="both"/>
        <w:spacing w:before="100" w:after="100"/>
        <w:ind w:start="360"/>
        <w:ind w:firstLine="360"/>
      </w:pPr>
      <w:r>
        <w:rPr/>
      </w:r>
      <w:r>
        <w:rPr/>
      </w:r>
      <w:r>
        <w:t xml:space="preserve">When a partner or transferee becomes entitled to receive a distribution, the partner or transferee has the status of, and is entitled to all remedies available to, a creditor of the limited partnership with respect to the distribution. However, the limited partnership's obligation to make a distribution is subject to offset for any amount owed to the limited partnership by the partner or dissociated partner on whose account the distribution is made.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§1367. Right to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§1367. Right to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§1367. RIGHT TO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