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 Limitations 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Limitations 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§1368. LIMITATIONS 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