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becomes effective:</w:t>
      </w:r>
    </w:p>
    <w:p>
      <w:pPr>
        <w:jc w:val="both"/>
        <w:spacing w:before="100" w:after="0"/>
        <w:ind w:start="720"/>
      </w:pPr>
      <w:r>
        <w:rPr/>
        <w:t>A</w:t>
        <w:t xml:space="preserve">.  </w:t>
      </w:r>
      <w:r>
        <w:rPr/>
      </w:r>
      <w:r>
        <w:t xml:space="preserve">The surviving organization continues or comes into existence;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constituent organization that merges into the surviving organization ceases to exist as a separate entity;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All property owned by each constituent organization that ceases to exist vests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All debts, liabilities and other obligations of each constituent organization that ceases to exist continue as obligations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 action or proceeding pending by or against any constituent organization that ceases to exist may be continued as if the merger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Except as prohibited by other law, all of the rights, privileges, immunities, powers and purposes of each constituent organization that ceases to exist vest in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Except as otherwise provided in the plan of merger, the terms and conditions of the plan of merger take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Except as otherwise agreed, if a constituent limited partnership ceases to exist, the merger does not dissolve the limited partnership for the purposes of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If the surviving organization is created by the merger:</w:t>
      </w:r>
    </w:p>
    <w:p>
      <w:pPr>
        <w:jc w:val="both"/>
        <w:spacing w:before="100" w:after="0"/>
        <w:ind w:start="1080"/>
      </w:pPr>
      <w:r>
        <w:rPr/>
        <w:t>(</w:t>
        <w:t>1</w:t>
        <w:t xml:space="preserve">)  </w:t>
      </w:r>
      <w:r>
        <w:rPr/>
      </w:r>
      <w:r>
        <w:t xml:space="preserve">If the surviving organization is a limited partnership, the certificate of limited partnership becomes effective; or</w:t>
      </w:r>
    </w:p>
    <w:p>
      <w:pPr>
        <w:jc w:val="both"/>
        <w:spacing w:before="100" w:after="0"/>
        <w:ind w:start="1080"/>
      </w:pPr>
      <w:r>
        <w:rPr/>
        <w:t>(</w:t>
        <w:t>2</w:t>
        <w:t xml:space="preserve">)  </w:t>
      </w:r>
      <w:r>
        <w:rPr/>
      </w:r>
      <w:r>
        <w:t xml:space="preserve">If the surviving organization is an organization other than a limited partnership, the organizational document that creates the organization becomes effective;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If the surviving organization preexists the merger, any amendments provided for in the articles of merger for the organizational document that created the organization become effective.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Foreign organization.</w:t>
        <w:t xml:space="preserve"> </w:t>
      </w:r>
      <w:r>
        <w:t xml:space="preserve"> </w:t>
      </w:r>
      <w:r>
        <w:t xml:space="preserve">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may be served with process at the address required in the articles of merger under </w:t>
      </w:r>
      <w:r>
        <w:t>section 1438, subsection 2,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§36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§1439.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