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Governing law</w:t>
      </w:r>
    </w:p>
    <w:p>
      <w:pPr>
        <w:jc w:val="both"/>
        <w:spacing w:before="100" w:after="100"/>
        <w:ind w:start="360"/>
        <w:ind w:firstLine="360"/>
      </w:pPr>
      <w:r>
        <w:rPr/>
      </w:r>
      <w:r>
        <w:rPr/>
      </w:r>
      <w:r>
        <w:t xml:space="preserve">The law of this State governs: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Internal affairs.</w:t>
        <w:t xml:space="preserve"> </w:t>
      </w:r>
      <w:r>
        <w:t xml:space="preserve"> </w:t>
      </w:r>
      <w:r>
        <w:t xml:space="preserve">The internal affairs of a limited liability company;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Liability.</w:t>
        <w:t xml:space="preserve"> </w:t>
      </w:r>
      <w:r>
        <w:t xml:space="preserve"> </w:t>
      </w:r>
      <w:r>
        <w:t xml:space="preserve">The liability of a member as a member for the debts, obligations or other liabilities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§1506.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