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w:t>
        <w:t xml:space="preserve">.  </w:t>
      </w:r>
      <w:r>
        <w:rPr>
          <w:b/>
        </w:rPr>
        <w:t xml:space="preserve">Provisions of the chapter that may not be modified by the limited liability company agreement</w:t>
      </w:r>
    </w:p>
    <w:p>
      <w:pPr>
        <w:jc w:val="both"/>
        <w:spacing w:before="100" w:after="100"/>
        <w:ind w:start="360"/>
        <w:ind w:firstLine="360"/>
      </w:pPr>
      <w:r>
        <w:rPr>
          <w:b/>
        </w:rPr>
        <w:t>1</w:t>
        <w:t xml:space="preserve">.  </w:t>
      </w:r>
      <w:r>
        <w:rPr>
          <w:b/>
        </w:rPr>
        <w:t xml:space="preserve">Prohibited contents.</w:t>
        <w:t xml:space="preserve"> </w:t>
      </w:r>
      <w:r>
        <w:t xml:space="preserve"> </w:t>
      </w:r>
      <w:r>
        <w:t xml:space="preserve">A limited liability company agreement may not:</w:t>
      </w:r>
    </w:p>
    <w:p>
      <w:pPr>
        <w:jc w:val="both"/>
        <w:spacing w:before="100" w:after="0"/>
        <w:ind w:start="720"/>
      </w:pPr>
      <w:r>
        <w:rPr/>
        <w:t>A</w:t>
        <w:t xml:space="preserve">.  </w:t>
      </w:r>
      <w:r>
        <w:rPr/>
      </w:r>
      <w:r>
        <w:t xml:space="preserve">Vary the distinction between the limited liability company as an entity and its members under </w:t>
      </w:r>
      <w:r>
        <w:t>section 1504,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Vary a limited liability company's capacity under </w:t>
      </w:r>
      <w:r>
        <w:t>section 1505</w:t>
      </w:r>
      <w:r>
        <w:t xml:space="preserve"> to sue and be sued in its own name;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Vary the law applicable under </w:t>
      </w:r>
      <w:r>
        <w:t>section 1506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Except as otherwise provided in </w:t>
      </w:r>
      <w:r>
        <w:t>section 1524, subsection 2</w:t>
      </w:r>
      <w:r>
        <w:t xml:space="preserve">, restrict the rights under this chapter of a person other than a member or transferee;</w:t>
      </w:r>
      <w:r>
        <w:t xml:space="preserve">  </w:t>
      </w:r>
      <w:r xmlns:wp="http://schemas.openxmlformats.org/drawingml/2010/wordprocessingDrawing" xmlns:w15="http://schemas.microsoft.com/office/word/2012/wordml">
        <w:rPr>
          <w:rFonts w:ascii="Arial" w:hAnsi="Arial" w:cs="Arial"/>
          <w:sz w:val="22"/>
          <w:szCs w:val="22"/>
        </w:rPr>
        <w:t xml:space="preserve">[PL 2011, c. 113, Pt. A, §6 (AMD).]</w:t>
      </w:r>
    </w:p>
    <w:p>
      <w:pPr>
        <w:jc w:val="both"/>
        <w:spacing w:before="100" w:after="0"/>
        <w:ind w:start="720"/>
      </w:pPr>
      <w:r>
        <w:rPr/>
        <w:t>E</w:t>
        <w:t xml:space="preserve">.  </w:t>
      </w:r>
      <w:r>
        <w:rPr/>
      </w:r>
      <w:r>
        <w:t xml:space="preserve">Vary the power of the court under </w:t>
      </w:r>
      <w:r>
        <w:t>section 1677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Eliminate or limit a member's liability to the limited liability company and members for money damages for a bad faith violation of the implied contractual covenant of good faith and fair dealing;</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Waive the requirement of </w:t>
      </w:r>
      <w:r>
        <w:t>section 1553, subsection 1</w:t>
      </w:r>
      <w:r>
        <w:t xml:space="preserve"> that a contribution obligation be in writing;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Vary the requirement to wind up the limited liability company's business as specified in </w:t>
      </w:r>
      <w:r>
        <w:t>section 1597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§6 (AMD).]</w:t>
      </w:r>
    </w:p>
    <w:p>
      <w:pPr>
        <w:jc w:val="both"/>
        <w:spacing w:before="100" w:after="0"/>
        <w:ind w:start="360"/>
        <w:ind w:firstLine="360"/>
      </w:pPr>
      <w:r>
        <w:rPr>
          <w:b/>
        </w:rPr>
        <w:t>2</w:t>
        <w:t xml:space="preserve">.  </w:t>
      </w:r>
      <w:r>
        <w:rPr>
          <w:b/>
        </w:rPr>
        <w:t xml:space="preserve">Good faith and fair dealing.</w:t>
        <w:t xml:space="preserve"> </w:t>
      </w:r>
      <w:r>
        <w:t xml:space="preserve"> </w:t>
      </w:r>
      <w:r>
        <w:t xml:space="preserve">Notwithstanding any contrary provision of law, there exists an implied contractual covenant of good faith and fair dealing in every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§1522. Provisions of the chapter that may not be modified by the limited liability company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 Provisions of the chapter that may not be modified by the limited liability company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§1522. PROVISIONS OF THE CHAPTER THAT MAY NOT BE MODIFIED BY THE LIMITED LIABILITY COMPANY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