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§1598. Power to bind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§1598. Power to bind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§1598. POWER TO BIND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