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Application of assets in winding up limited liability company's activities</w:t>
      </w:r>
    </w:p>
    <w:p>
      <w:pPr>
        <w:jc w:val="both"/>
        <w:spacing w:before="100" w:after="100"/>
        <w:ind w:start="360"/>
        <w:ind w:firstLine="360"/>
      </w:pPr>
      <w:r>
        <w:rPr/>
      </w:r>
      <w:r>
        <w:rPr/>
      </w:r>
      <w:r>
        <w:t xml:space="preserve">Upon the winding up of a limited liability company, the assets must be applied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Payment to creditors.</w:t>
        <w:t xml:space="preserve"> </w:t>
      </w:r>
      <w:r>
        <w:t xml:space="preserve"> </w:t>
      </w:r>
      <w:r>
        <w:t xml:space="preserve">Payment, or adequate provision for payment, must be made to creditors, including, to the extent permitted by law, members who are creditors, in satisfaction of liabilities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Surplus.</w:t>
        <w:t xml:space="preserve"> </w:t>
      </w:r>
      <w:r>
        <w:t xml:space="preserve"> </w:t>
      </w:r>
      <w:r>
        <w:t xml:space="preserve">After a limited liability company complies with </w:t>
      </w:r>
      <w:r>
        <w:t>subsection 1</w:t>
      </w:r>
      <w:r>
        <w:t xml:space="preserve">, any surplus must be distributed:</w:t>
      </w:r>
    </w:p>
    <w:p>
      <w:pPr>
        <w:jc w:val="both"/>
        <w:spacing w:before="100" w:after="0"/>
        <w:ind w:start="720"/>
      </w:pPr>
      <w:r>
        <w:rPr/>
        <w:t>A</w:t>
        <w:t xml:space="preserve">.  </w:t>
      </w:r>
      <w:r>
        <w:rPr/>
      </w:r>
      <w:r>
        <w:t xml:space="preserve">To each person owning a transferable interest that reflects contributions made on account of such transferable interest and not previously returned, in an amount equal to the value of the unreturned contributions;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After the distribution under </w:t>
      </w:r>
      <w:r>
        <w:t>paragraph A</w:t>
      </w:r>
      <w:r>
        <w:t xml:space="preserve">, to each person owning a transferable interest in the proportions in which the owners of transferable interests share in distributions prior to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Distribution in proportion to value.</w:t>
        <w:t xml:space="preserve"> </w:t>
      </w:r>
      <w:r>
        <w:t xml:space="preserve"> </w:t>
      </w:r>
      <w:r>
        <w:t xml:space="preserve">If the limited liability company does not have sufficient surplus to comply with </w:t>
      </w:r>
      <w:r>
        <w:t>subsection 2, paragraph A</w:t>
      </w:r>
      <w:r>
        <w:t xml:space="preserve">, any surplus must be distributed among the owners of transferable interests in proportion to the value of their respective unreturned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Application of assets in winding up limited liability company's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Application of assets in winding up limited liability company's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§1601. APPLICATION OF ASSETS IN WINDING UP LIMITED LIABILITY COMPANY'S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