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1670</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medium approved by the Secretary of State,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§1670. Access to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§1670. Access to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§1670. ACCESS TO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