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§U33 (NEW). PL 1995, c. 458, §18 (AMD). PL 1999, c. 547, §B52 (AMD). PL 1999, c. 547, §B80 (AFF). PL 2003, c. 631, §50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§530.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