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Cancellation of authority to do business</w:t>
      </w:r>
    </w:p>
    <w:p>
      <w:pPr>
        <w:jc w:val="both"/>
        <w:spacing w:before="100" w:after="100"/>
        <w:ind w:start="360"/>
        <w:ind w:firstLine="360"/>
      </w:pPr>
      <w:r>
        <w:rPr/>
      </w:r>
      <w:r>
        <w:rPr/>
      </w:r>
      <w:r>
        <w:t xml:space="preserve">A foreign limited liability partnership may cancel its authority to do business by filing with the Secretary of State a certificate of cancellation.  A cancellation does not terminate the authority of the Secretary of State to accept service of process on the foreign limited liability partnership with respect to causes of action arising out of the doing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 Cancellation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Cancellation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§857. CANCELLATION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