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859‑A</w:t>
      </w:r>
      <w:r>
        <w:t xml:space="preserve"> for the revocation of authority, the Secretary of State shall serve the foreign limited liability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§26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partnership's authority to do business is revoked if within 60 days after the notice under </w:t>
      </w:r>
      <w:r>
        <w:t>subsection 1</w:t>
      </w:r>
      <w:r>
        <w:t xml:space="preserve"> was issued the Secretary of State determines that the foreign limited liability partnership has failed to correct the ground or grounds for revocation.  The Secretary of State shall send notice to the foreign partnership as required by </w:t>
      </w:r>
      <w:r>
        <w:t>subsection 7</w:t>
      </w:r>
      <w:r>
        <w:t xml:space="preserve"> that recites the ground or grounds for revocation of the foreign partnership's status as a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§27 (AMD); PL 2007, c. 323, Pt. G, §4 (AFF).]</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partnership to transact business in this State ceases on the date of revocation of its authority unless such revocation is stayed pursuant to </w:t>
      </w:r>
      <w:r>
        <w:t>section 859‑C,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limited liability partnership's authority appoints the Secretary of State as the foreign limited liability partnership's agent for service of process in any proceeding based on a cause of action that arose during the time the foreign limited liability partnership was authorized to transact business in this State. Service of process on the Secretary of State under this subsection is service on the foreign limited liability partnership. Upon receipt of process, the Secretary of State shall mail a copy of the process to the foreign limited liability partnership at its principal office shown in its most recent annual report or in any subsequent communication received from the limited liability partnership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liability partnership's authority to transact business in this State does not terminate the authority of the registered agent of the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partnership whose authority to transact business in this State has been revoked under this section and that wishes to transact business again in this State may be requalified by applying for authority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liability partnership is perfected 5 days after the Secretary of State deposits its determination in the United States mail, as evidenced by the postmark, if mailed postpaid and correctly addressed to the registered agent of the foreign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§28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§B9 (AMD). PL 2005, c. 543, §B15 (AFF). PL 2007, c. 323, Pt. E, §§26-28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§859-B.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§859-B.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§859-B.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