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69-B</w:t>
      </w:r>
    </w:p>
    <w:p>
      <w:pPr>
        <w:jc w:val="center"/>
        <w:ind w:start="360"/>
        <w:spacing w:before="300" w:after="300"/>
      </w:pPr>
      <w:r>
        <w:rPr>
          <w:b/>
        </w:rPr>
        <w:t xml:space="preserve">REGULATIONS OF THE SALE OF BUSINESS OPPORTUNITIES</w:t>
      </w:r>
    </w:p>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jc w:val="both"/>
        <w:spacing w:before="100" w:after="100"/>
        <w:ind w:start="1080" w:hanging="720"/>
      </w:pPr>
      <w:r>
        <w:rPr>
          <w:b/>
        </w:rPr>
        <w:t>§</w:t>
        <w:t>4696</w:t>
        <w:t xml:space="preserve">.  </w:t>
      </w:r>
      <w:r>
        <w:rPr>
          <w:b/>
        </w:rPr>
        <w:t xml:space="preserve">Registration</w:t>
      </w:r>
    </w:p>
    <w:p>
      <w:pPr>
        <w:jc w:val="both"/>
        <w:spacing w:before="100" w:after="100"/>
        <w:ind w:start="360"/>
        <w:ind w:firstLine="360"/>
      </w:pPr>
      <w:r>
        <w:rPr/>
      </w:r>
      <w:r>
        <w:rPr/>
      </w:r>
      <w:r>
        <w:t xml:space="preserve">Every seller shall register with the Securities Administrator prior to selling, offering to sell, advertising or undertaking any other act relating to the promotion of business opportunities in this State. Registration shall be complete upon paying a $25 fee, filing a copy of the disclosure statement required by </w:t>
      </w:r>
      <w:r>
        <w:t>section 4692</w:t>
      </w:r>
      <w:r>
        <w:t xml:space="preserve"> and providing evidence of a bond or escrow account satisfying the requirements of </w:t>
      </w:r>
      <w:r>
        <w:t>section 4695</w:t>
      </w:r>
      <w:r>
        <w:t xml:space="preserve">. The seller shall update the disclosure statement as material information changes.</w:t>
      </w:r>
      <w:r>
        <w:t xml:space="preserve">  </w:t>
      </w:r>
      <w:r xmlns:wp="http://schemas.openxmlformats.org/drawingml/2010/wordprocessingDrawing" xmlns:w15="http://schemas.microsoft.com/office/word/2012/wordml">
        <w:rPr>
          <w:rFonts w:ascii="Arial" w:hAnsi="Arial" w:cs="Arial"/>
          <w:sz w:val="22"/>
          <w:szCs w:val="22"/>
        </w:rPr>
        <w:t xml:space="preserve">[PL 1989, c. 542,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§3 (AMD). PL 1989, c. 542, §3 (AMD). </w:t>
      </w:r>
    </w:p>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4699-A</w:t>
        <w:t xml:space="preserve">.  </w:t>
      </w:r>
      <w:r>
        <w:rPr>
          <w:b/>
        </w:rPr>
        <w:t xml:space="preserve">Investigatory powers of Securities Administrator</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Securities Administrator may conduct investigations, within or outside the State, as the Securities Administrator finds necessary or appropriate to:</w:t>
      </w:r>
    </w:p>
    <w:p>
      <w:pPr>
        <w:jc w:val="both"/>
        <w:spacing w:before="100" w:after="0"/>
        <w:ind w:start="720"/>
      </w:pPr>
      <w:r>
        <w:rPr/>
        <w:t>A</w:t>
        <w:t xml:space="preserve">.  </w:t>
      </w:r>
      <w:r>
        <w:rPr/>
      </w:r>
      <w:r>
        <w:t xml:space="preserve">Determine whether a person has violated, or is about to violate, a provision of this chapter or a rule or order of the Securities Administrator;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2</w:t>
        <w:t xml:space="preserve">.  </w:t>
      </w:r>
      <w:r>
        <w:rPr>
          <w:b/>
        </w:rPr>
        <w:t xml:space="preserve">Publication.</w:t>
        <w:t xml:space="preserve"> </w:t>
      </w:r>
      <w:r>
        <w:t xml:space="preserve"> </w:t>
      </w:r>
      <w:r>
        <w:t xml:space="preserve">The Securities Administrator may publish information concerning a violation of this chapter or a rule or order of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3</w:t>
        <w:t xml:space="preserve">.  </w:t>
      </w:r>
      <w:r>
        <w:rPr>
          <w:b/>
        </w:rPr>
        <w:t xml:space="preserve">Power of Securities Administrator.</w:t>
        <w:t xml:space="preserve"> </w:t>
      </w:r>
      <w:r>
        <w:t xml:space="preserve"> </w:t>
      </w:r>
      <w:r>
        <w:t xml:space="preserve">For purposes of an investigation or proceeding under this chapter, the Securities Administrator or the Securities Administrator's designee may administer oaths and affirmations, subpoena witnesses, compel the attendance of witnesses, take evidence and require the production of any books, papers, correspondence, memoranda, agreements or other documents or records that the Securities Administrator or designee considers relevant or material to the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Securities Administrator or the Securities Administrator's designee pursuant to an administrative subpoena, the Securities Administrator or designee may apply for a court order compelling compliance with the subpoena or the giving of the required testimony.  The request for order of compliance may be addressed to either:</w:t>
      </w:r>
    </w:p>
    <w:p>
      <w:pPr>
        <w:jc w:val="both"/>
        <w:spacing w:before="100" w:after="0"/>
        <w:ind w:start="720"/>
      </w:pPr>
      <w:r>
        <w:rPr/>
        <w:t>A</w:t>
        <w:t xml:space="preserve">.  </w:t>
      </w:r>
      <w:r>
        <w:rPr/>
      </w:r>
      <w:r>
        <w:t xml:space="preserve">The Superior Court located in Kennebec County or the Superior Court where service may be obtained on a person refusing to testify or produce the documents required by the Securities Administrator, if the person is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The appropriate court of the state having jurisdiction over the person refusing to testify or produce the documents required by the Securities Administrator, if the person is outside the State.</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 </w:t>
      </w:r>
    </w:p>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69-B. REGULATIONS OF THE SALE OF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