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80-B</w:t>
      </w:r>
    </w:p>
    <w:p>
      <w:pPr>
        <w:jc w:val="center"/>
        <w:ind w:start="360"/>
        <w:spacing w:before="300" w:after="300"/>
      </w:pPr>
      <w:r>
        <w:rPr>
          <w:b/>
        </w:rPr>
        <w:t xml:space="preserve">FORECLOSURE PURCHASERS</w:t>
      </w:r>
    </w:p>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80-B. FORECLOSURE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