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Civil penalty</w:t>
      </w:r>
    </w:p>
    <w:p>
      <w:pPr>
        <w:jc w:val="both"/>
        <w:spacing w:before="100" w:after="100"/>
        <w:ind w:start="360"/>
        <w:ind w:firstLine="360"/>
      </w:pPr>
      <w:r>
        <w:rPr/>
      </w:r>
      <w:r>
        <w:rPr/>
      </w:r>
      <w:r>
        <w:t xml:space="preserve">Except for a civil action against a debt buyer, the superintendent may, through the Attorney General, bring a civil action for a penalty not to exceed $5,000 against any person who willfully violates this chapter.  The superintendent may, through the Attorney General, bring a civil action for a penalty not to exceed $10,000 against a debt buyer who willfully violates this chapter.  No civil penalty pursuant to this section may be imposed for violations of this chapter occurring more than 2 years before the civil action is brought.</w:t>
      </w:r>
      <w:r>
        <w:t xml:space="preserve">  </w:t>
      </w:r>
      <w:r xmlns:wp="http://schemas.openxmlformats.org/drawingml/2010/wordprocessingDrawing" xmlns:w15="http://schemas.microsoft.com/office/word/2012/wordml">
        <w:rPr>
          <w:rFonts w:ascii="Arial" w:hAnsi="Arial" w:cs="Arial"/>
          <w:sz w:val="22"/>
          <w:szCs w:val="22"/>
        </w:rPr>
        <w:t xml:space="preserve">[PL 2017, c. 216,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§11053.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§11053.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