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12213</w:t>
        <w:t xml:space="preserve">.  </w:t>
      </w:r>
      <w:r>
        <w:rPr>
          <w:b/>
        </w:rPr>
        <w:t xml:space="preserve">Appointment</w:t>
      </w:r>
    </w:p>
    <w:p>
      <w:pPr>
        <w:jc w:val="both"/>
        <w:spacing w:before="100" w:after="100"/>
        <w:ind w:start="360"/>
        <w:ind w:firstLine="360"/>
      </w:pPr>
      <w:r>
        <w:rPr/>
      </w:r>
      <w:r>
        <w:rPr/>
      </w:r>
      <w:r>
        <w:t xml:space="preserve">The Board of Accountancy, as established by </w:t>
      </w:r>
      <w:r>
        <w:t>Title 5, section 12004‑A, subsection 1</w:t>
      </w:r>
      <w:r>
        <w:t xml:space="preserve">, within the department consists of 5 members appointed by the Governor. Each member of the board must be a resident of this State.  Four members must be holders of licenses issued under </w:t>
      </w:r>
      <w:r>
        <w:t>section 12230</w:t>
      </w:r>
      <w:r>
        <w:t xml:space="preserve"> or </w:t>
      </w:r>
      <w:r>
        <w:t>12231</w:t>
      </w:r>
      <w:r>
        <w:t xml:space="preserve"> or a corresponding provision of prior law and must have had, as their principal occupation, active practice as certified public accountants for at least the 5 preceding years.  One member of the board must be a public member as defined in </w:t>
      </w:r>
      <w:r>
        <w:t>Title 5, section 12004‑A</w:t>
      </w:r>
      <w:r>
        <w:t xml:space="preserve">. Appointments are for 3-year terms.  Appointments of members must comply with </w:t>
      </w:r>
      <w:r>
        <w:t>Title 10, section 8009</w:t>
      </w:r>
      <w:r>
        <w:t xml:space="preserve">.  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2009, c. 242,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§A52 (AMD). PL 1989, c. 503, §B154 (AMD). PL 1989, c. 878, §A99 (RPR). PL 1993, c. 600, §A264 (AMD). PL 2007, c. 402, Pt. Z, §5 (AMD). PL 2007, c. 621, §11 (AMD). PL 2009, c. 242,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