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Rulemaking</w:t>
      </w:r>
    </w:p>
    <w:p>
      <w:pPr>
        <w:jc w:val="both"/>
        <w:spacing w:before="100" w:after="100"/>
        <w:ind w:start="360"/>
        <w:ind w:firstLine="360"/>
      </w:pPr>
      <w:r>
        <w:rPr/>
      </w:r>
      <w:r>
        <w:rPr/>
      </w:r>
      <w:r>
        <w:t xml:space="preserve">Rules adopted pursuant to </w:t>
      </w:r>
      <w:r>
        <w:t>section 12522, subsection 4</w:t>
      </w:r>
      <w:r>
        <w:t xml:space="preserve"> are major substantive rules as defined by </w:t>
      </w:r>
      <w:r>
        <w:t>Title 5, chapter 375, subchapter 2‑A</w:t>
      </w:r>
      <w:r>
        <w:t xml:space="preserve">.  All other rules adopted pursuant to this chapter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2007, c. 621,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621,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