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Corporations, partnerships and associations</w:t>
      </w:r>
    </w:p>
    <w:p>
      <w:pPr>
        <w:jc w:val="both"/>
        <w:spacing w:before="100" w:after="100"/>
        <w:ind w:start="360"/>
        <w:ind w:firstLine="360"/>
      </w:pPr>
      <w:r>
        <w:rPr/>
      </w:r>
      <w:r>
        <w:rPr/>
      </w:r>
      <w:r>
        <w:t xml:space="preserve">A firm, copartnership, corporation or joint stock association may engage in the practice of professional engineering in this State, provided that the practice is carried on only by professional engineers licensed in this State.</w:t>
      </w:r>
      <w:r>
        <w:t xml:space="preserve">  </w:t>
      </w:r>
      <w:r xmlns:wp="http://schemas.openxmlformats.org/drawingml/2010/wordprocessingDrawing" xmlns:w15="http://schemas.microsoft.com/office/word/2012/wordml">
        <w:rPr>
          <w:rFonts w:ascii="Arial" w:hAnsi="Arial" w:cs="Arial"/>
          <w:sz w:val="22"/>
          <w:szCs w:val="22"/>
        </w:rPr>
        <w:t xml:space="preserve">[PL 2005, c. 315,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§40 (AMD). PL 2005, c. 315,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§1253. Corporations, partnerships and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Corporations, partnerships and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§1253. CORPORATIONS, PARTNERSHIPS AND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