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12533</w:t>
        <w:t xml:space="preserve">.  </w:t>
      </w:r>
      <w:r>
        <w:rPr>
          <w:b/>
        </w:rPr>
        <w:t xml:space="preserve">Qualifications for licensure as a certified professional midwife</w:t>
      </w:r>
    </w:p>
    <w:p>
      <w:pPr>
        <w:jc w:val="both"/>
        <w:spacing w:before="100" w:after="100"/>
        <w:ind w:start="360"/>
        <w:ind w:firstLine="360"/>
      </w:pPr>
      <w:r>
        <w:rPr/>
      </w:r>
      <w:r>
        <w:rPr/>
      </w:r>
      <w:r>
        <w:t xml:space="preserve">An applicant for a license to practice midwifery as a certified professional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professional midwife from the national registry of midwives;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100"/>
        <w:ind w:start="360"/>
        <w:ind w:firstLine="360"/>
      </w:pPr>
      <w:r>
        <w:rPr>
          <w:b/>
        </w:rPr>
        <w:t>3</w:t>
        <w:t xml:space="preserve">.  </w:t>
      </w:r>
      <w:r>
        <w:rPr>
          <w:b/>
        </w:rPr>
        <w:t xml:space="preserve">Education.</w:t>
        <w:t xml:space="preserve"> </w:t>
      </w:r>
      <w:r>
        <w:t xml:space="preserve"> </w:t>
      </w:r>
      <w:r>
        <w:t xml:space="preserve">Proof of successful completion of a formal midwifery education and training program as follows:</w:t>
      </w:r>
    </w:p>
    <w:p>
      <w:pPr>
        <w:jc w:val="both"/>
        <w:spacing w:before="100" w:after="0"/>
        <w:ind w:start="720"/>
      </w:pPr>
      <w:r>
        <w:rPr/>
        <w:t>A</w:t>
        <w:t xml:space="preserve">.  </w:t>
      </w:r>
      <w:r>
        <w:rPr/>
      </w:r>
      <w:r>
        <w:t xml:space="preserve">An educational program or institution accredited by the midwifery education accreditation council;</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For an applicant certified as a certified professional midwife who is certified before January 1, 2020 and who has completed a midwifery education and training program from an educational program or institution that is not accredited by the midwifery education accreditation council, a midwifery bridge certificate; or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For an applicant who has maintained an authorization to practice midwifery as a licensed certified professional midwife in a state that does not require completion of a midwifery education and training program from an educational program or institution that is accredited by the midwifery education accreditation council, regardless of the date of that authorization, a midwifery bridge certificate.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§12533. Qualifications for licensure as a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§12533. Qualifications for licensure as a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§12533. QUALIFICATIONS FOR LICENSURE AS A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