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License required; licensee title; scope of practice; limitations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offer to practice or profess to be authorized to practice auricular acupuncture detoxification or represent to the public that the person is an acupuncture detoxification specialist unless licensed by the board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Title.</w:t>
        <w:t xml:space="preserve"> </w:t>
      </w:r>
      <w:r>
        <w:t xml:space="preserve"> </w:t>
      </w:r>
      <w:r>
        <w:t xml:space="preserve">A person licensed under this subchapter may use the title "licensed acupuncture detoxification specialist" and the designation "A.D.S." or "L.A.D.S." but may not represent to the public that the person is an acupuncturist.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Auricular acupuncture detoxification is the subcutaneous insertion of sterile, single‑use disposable acupuncture needles in consistent, predetermined bilateral locations on the outer ear according to national acupuncture detoxification association protocol for the purpose of treatment of substance use and co‑occurring disorders.  The practice is limited to the outer 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4</w:t>
        <w:t xml:space="preserve">.  </w:t>
      </w:r>
      <w:r>
        <w:rPr>
          <w:b/>
        </w:rPr>
        <w:t xml:space="preserve">Limitations.</w:t>
        <w:t xml:space="preserve"> </w:t>
      </w:r>
      <w:r>
        <w:t xml:space="preserve"> </w:t>
      </w:r>
      <w:r>
        <w:t xml:space="preserve">An acupuncture detoxification specialist:</w:t>
      </w:r>
    </w:p>
    <w:p>
      <w:pPr>
        <w:jc w:val="both"/>
        <w:spacing w:before="100" w:after="0"/>
        <w:ind w:start="720"/>
      </w:pPr>
      <w:r>
        <w:rPr/>
        <w:t>A</w:t>
        <w:t xml:space="preserve">.  </w:t>
      </w:r>
      <w:r>
        <w:rPr/>
      </w:r>
      <w:r>
        <w:t xml:space="preserve">May not perform acupuncture outside of the scope of practice of auricular acupuncture detoxification;</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May provide auricular acupuncture detoxification only under the general supervision of a licensed acupuncturist whose license is in good standing.  The supervising acupuncturist must, at a minimum, be available by telephone or electronic means during business hours and shall conduct at least 2 in‑person visits or visits through videoconferencing with the acupuncture detoxification specialist during the first year the supervising acupuncturist oversees the work of the acupuncture detoxification specialist;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May provide auricular acupuncture detoxification in, or in collaboration with, a program for substance use and co‑occurring disorders or other state‑approved program.  An acupuncture detoxification specialist shall provide documentation to the program administrator demonstrating that the acupuncture detoxification specialist possesses a record of completion of training in auricular acupuncture detoxification from the national acupuncture detoxification association or completion of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§12551. License required; licensee title; scope of practice;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License required; licensee title; scope of practice;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§12551. LICENSE REQUIRED; LICENSEE TITLE; SCOPE OF PRACTICE;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