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Violations; penalties; injunction</w:t>
      </w:r>
    </w:p>
    <w:p>
      <w:pPr>
        <w:jc w:val="both"/>
        <w:spacing w:before="100" w:after="100"/>
        <w:ind w:start="360"/>
        <w:ind w:firstLine="360"/>
      </w:pPr>
      <w:r>
        <w:rPr/>
      </w:r>
      <w:r>
        <w:rPr/>
      </w:r>
      <w:r>
        <w:t xml:space="preserve">A person who practices or offers to practice the profession of engineering in this State without being licensed or exempted in accordance with this chapter, or a person presenting or attempting to use the license or the seal of another, or a person who gives a false or forged evidence of any kind to the board or to a member of the board in obtaining a license, or a person who falsely impersonates any other licensee of like or different name, or a person who attempts to use an expired or revoked license, or a person who violates any of the provisions of this chapter for which a penalty has not been prescribed commits a civil violation for which a fine of not more than $10,000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375, §8 (AMD).]</w:t>
      </w:r>
    </w:p>
    <w:p>
      <w:pPr>
        <w:jc w:val="both"/>
        <w:spacing w:before="100" w:after="100"/>
        <w:ind w:start="360"/>
        <w:ind w:firstLine="360"/>
      </w:pPr>
      <w:r>
        <w:rPr/>
      </w:r>
      <w:r>
        <w:rPr/>
      </w:r>
      <w:r>
        <w:t xml:space="preserve">The State may bring an action in Superior Court to enjoin a person from violating this chapter, regardless of whether other administrative, civil or criminal proceedings have been or may be instituted.</w:t>
      </w:r>
      <w:r>
        <w:t xml:space="preserve">  </w:t>
      </w:r>
      <w:r xmlns:wp="http://schemas.openxmlformats.org/drawingml/2010/wordprocessingDrawing" xmlns:w15="http://schemas.microsoft.com/office/word/2012/wordml">
        <w:rPr>
          <w:rFonts w:ascii="Arial" w:hAnsi="Arial" w:cs="Arial"/>
          <w:sz w:val="22"/>
          <w:szCs w:val="22"/>
        </w:rPr>
        <w:t xml:space="preserve">[PL 2001, c. 421, Pt. B, §95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§41 (AMD). PL 1995, c. 355, §4 (AMD). PL 1999, c. 547, §B78 (AMD). PL 1999, c. 547, §B80 (AFF). PL 2001, c. 421, §B95 (AMD). PL 2001, c. 421, §C1 (AFF). PL 2005, c. 315, §10 (AMD). PL 2019, c. 375,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 Violations;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Violations;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§1256. VIOLATIONS;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