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Qualifications</w:t>
      </w:r>
    </w:p>
    <w:p>
      <w:pPr>
        <w:jc w:val="both"/>
        <w:spacing w:before="100" w:after="100"/>
        <w:ind w:start="360"/>
        <w:ind w:firstLine="360"/>
      </w:pPr>
      <w:r>
        <w:rPr/>
      </w:r>
      <w:r>
        <w:rPr/>
      </w:r>
      <w:r>
        <w:t xml:space="preserve">Each member of the board must be a citizen of the United States and a resident of this State, and each engineer member must have been engaged in the practice of the profession of engineering for at least 12 years and must have been in responsible charge of engineering work for at least 5 years. Teaching of engineering courses in a college or university offering an approved engineering curriculum of 4 years or more may be construed as responsible charge of engineering work.</w:t>
      </w:r>
      <w:r>
        <w:t xml:space="preserve">  </w:t>
      </w:r>
      <w:r xmlns:wp="http://schemas.openxmlformats.org/drawingml/2010/wordprocessingDrawing" xmlns:w15="http://schemas.microsoft.com/office/word/2012/wordml">
        <w:rPr>
          <w:rFonts w:ascii="Arial" w:hAnsi="Arial" w:cs="Arial"/>
          <w:sz w:val="22"/>
          <w:szCs w:val="22"/>
        </w:rPr>
        <w:t xml:space="preserve">[PL 1999, c. 186,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§17 (AMD). PL 1995, c. 355, §6 (AMD). PL 1999, c. 186,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