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Powers</w:t>
      </w:r>
    </w:p>
    <w:p>
      <w:pPr>
        <w:jc w:val="both"/>
        <w:spacing w:before="100" w:after="100"/>
        <w:ind w:start="360"/>
        <w:ind w:firstLine="360"/>
      </w:pPr>
      <w:r>
        <w:rPr/>
      </w:r>
      <w:r>
        <w:rPr/>
      </w:r>
      <w:r>
        <w:t xml:space="preserve">The board shall have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§45 (RPR).]</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board shall evaluate the qualifications and supervise the examination of applicants for licensure under this chapter.  The board may order an investigation of a licensee on its own motion or on written complaint filed with the board regarding noncompliance with or violation of any section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§14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a license, or as otherwise considered necessary to the fulfillment of its responsibilities under this chapter.</w:t>
      </w:r>
    </w:p>
    <w:p>
      <w:pPr>
        <w:jc w:val="both"/>
        <w:spacing w:before="100" w:after="0"/>
        <w:ind w:start="360"/>
      </w:pPr>
      <w:r>
        <w:rPr/>
      </w:r>
      <w:r>
        <w:rPr/>
      </w:r>
      <w:r>
        <w:t xml:space="preserve">The board may not refuse to renew a license for any reason other than failure to pay a required fee or failure to meet the professional development requirements, unless it has afforded the licensee an opportunity for an adjudicatory hearing.  The board shall hold an adjudicatory hearing at the written request of any person who is denied a license without a hearing for any reason other than failure to pay a required fee, as long as the request for hearing is received by the board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board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§9 (AMD).]</w:t>
      </w:r>
    </w:p>
    <w:p>
      <w:pPr>
        <w:jc w:val="both"/>
        <w:spacing w:before="100" w:after="0"/>
        <w:ind w:start="360"/>
        <w:ind w:firstLine="360"/>
      </w:pPr>
      <w:r>
        <w:rPr>
          <w:b/>
        </w:rPr>
        <w:t>4</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§563 (AMD). PL 1983, c. 413, §45 (RPR). PL 1995, c. 355, §7 (AMD). PL 2005, c. 315, §§14,15 (AMD). PL 2019, c. 375,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