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Records and reports</w:t>
      </w:r>
    </w:p>
    <w:p>
      <w:pPr>
        <w:jc w:val="both"/>
        <w:spacing w:before="100" w:after="100"/>
        <w:ind w:start="360"/>
        <w:ind w:firstLine="360"/>
      </w:pPr>
      <w:r>
        <w:rPr/>
      </w:r>
      <w:r>
        <w:rPr/>
      </w:r>
      <w:r>
        <w:t xml:space="preserve">The board shall keep such records and minutes as are necessary to the ordinary dispatch of its functions.</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Not later than August 1st of each year, the board shall submit to the Commissioner of Professional and Financial Regulation a report of its transactions of the preceding fiscal year ending June 30th and shall transmit to the commissioner a complete statement of the receipts and expenditures of the board, attested by affidavits of its chair.</w:t>
      </w:r>
      <w:r>
        <w:t xml:space="preserve">  </w:t>
      </w:r>
      <w:r xmlns:wp="http://schemas.openxmlformats.org/drawingml/2010/wordprocessingDrawing" xmlns:w15="http://schemas.microsoft.com/office/word/2012/wordml">
        <w:rPr>
          <w:rFonts w:ascii="Arial" w:hAnsi="Arial" w:cs="Arial"/>
          <w:sz w:val="22"/>
          <w:szCs w:val="22"/>
        </w:rPr>
        <w:t xml:space="preserve">[PL 2005, c. 315, §16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§6 (AMD).]</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The budget submitted by the board to the commissioner must be sufficient to enable the board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§15 (AMD). PL 1981, c. 456, §§A107,A108 (AMD). PL 1983, c. 413, §46 (RPR). PL 1983, c. 553, §46 (AMD). PL 1983, c. 758, §§5,6 (AMD). RR 1993, c. 1, §§82,83 (COR). PL 1993, c. 659, §§B6,7 (AMD). PL 2005, c. 315,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§1308.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