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§13173. Agency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§13173. AGENCY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