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13724</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in accordance with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§3 (NEW).]</w:t>
      </w:r>
    </w:p>
    <w:p>
      <w:pPr>
        <w:jc w:val="both"/>
        <w:spacing w:before="100" w:after="0"/>
        <w:ind w:start="360"/>
        <w:ind w:firstLine="360"/>
      </w:pPr>
      <w:r>
        <w:rPr>
          <w:b/>
        </w:rPr>
        <w:t>1</w:t>
        <w:t xml:space="preserve">.  </w:t>
      </w:r>
      <w:r>
        <w:rPr>
          <w:b/>
        </w:rPr>
        <w:t xml:space="preserve">General fees.</w:t>
        <w:t xml:space="preserve"> </w:t>
      </w:r>
      <w:r>
        <w:t xml:space="preserve"> </w:t>
      </w:r>
      <w:r>
        <w:t xml:space="preserve">Except as provided in </w:t>
      </w:r>
      <w:r>
        <w:t>subsection 2</w:t>
      </w:r>
      <w:r>
        <w:t xml:space="preserve">, the fee for any one purpose may not exceed $325.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§3 (NEW).]</w:t>
      </w:r>
    </w:p>
    <w:p>
      <w:pPr>
        <w:jc w:val="both"/>
        <w:spacing w:before="100" w:after="0"/>
        <w:ind w:start="360"/>
        <w:ind w:firstLine="360"/>
      </w:pPr>
      <w:r>
        <w:rPr>
          <w:b/>
        </w:rPr>
        <w:t>2</w:t>
        <w:t xml:space="preserve">.  </w:t>
      </w:r>
      <w:r>
        <w:rPr>
          <w:b/>
        </w:rPr>
        <w:t xml:space="preserve">Manufacturer of an opioid medication fee.</w:t>
        <w:t xml:space="preserve"> </w:t>
      </w:r>
      <w:r>
        <w:t xml:space="preserve"> </w:t>
      </w:r>
      <w:r>
        <w:t xml:space="preserve">The fee for a manufacturer of an opioid medication is $55,000.  This subsection does not apply to a manufacturer of an opioid medication if all of that manufacturer's opioid medications are approved by the United States Food and Drug Administration for use only in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§B3 (NEW). PL 2007, c. 402, Pt. DD, §11 (AMD). PL 2011, c. 286, Pt. B, §5 (REV). PL 2019, c. 536,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§13724.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