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1373</w:t>
        <w:t xml:space="preserve">.  </w:t>
      </w:r>
      <w:r>
        <w:rPr>
          <w:b/>
        </w:rPr>
        <w:t xml:space="preserve">Renewal</w:t>
      </w:r>
    </w:p>
    <w:p>
      <w:pPr>
        <w:jc w:val="both"/>
        <w:spacing w:before="100" w:after="100"/>
        <w:ind w:start="360"/>
        <w:ind w:firstLine="360"/>
      </w:pPr>
      <w:r>
        <w:rPr/>
      </w:r>
      <w:r>
        <w:rPr/>
      </w:r>
      <w:r>
        <w:t xml:space="preserve">The commissioner shall adopt rules governing the period of licensure and certification and conditions of renewal.</w:t>
      </w:r>
      <w:r>
        <w:t xml:space="preserve">  </w:t>
      </w:r>
      <w:r xmlns:wp="http://schemas.openxmlformats.org/drawingml/2010/wordprocessingDrawing" xmlns:w15="http://schemas.microsoft.com/office/word/2012/wordml">
        <w:rPr>
          <w:rFonts w:ascii="Arial" w:hAnsi="Arial" w:cs="Arial"/>
          <w:sz w:val="22"/>
          <w:szCs w:val="22"/>
        </w:rPr>
        <w:t xml:space="preserve">[PL 1989, c. 247, §§2,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§1373.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§1373.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§1373.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