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13743</w:t>
        <w:t xml:space="preserve">.  </w:t>
      </w:r>
      <w:r>
        <w:rPr>
          <w:b/>
        </w:rPr>
        <w:t xml:space="preserve">Reinstatement</w:t>
      </w:r>
    </w:p>
    <w:p>
      <w:pPr>
        <w:jc w:val="both"/>
        <w:spacing w:before="100" w:after="10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2</w:t>
        <w:t xml:space="preserve">.  </w:t>
      </w:r>
      <w:r>
        <w:rPr>
          <w:b/>
        </w:rPr>
        <w:t xml:space="preserve">Reinstatement.</w:t>
        <w:t xml:space="preserve"> </w:t>
      </w:r>
      <w:r>
        <w:t xml:space="preserve"> </w:t>
      </w:r>
      <w:r>
        <w:t xml:space="preserve">Any person whose license to practice pharmacy in this State has been suspended, revoked or restricted pursuant to this chapter, whether voluntarily or by action of the board, may at reasonable intervals petition the board for reinstatement of the license. The petition must be made in writing in a form prescribed by the board. Upon investigation and hearing, the board may grant or deny the petition or it may modify its original finding to reflect any circumstances which have changed sufficiently to warrant those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Criminal prosecutions.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4</w:t>
        <w:t xml:space="preserve">.  </w:t>
      </w:r>
      <w:r>
        <w:rPr>
          <w:b/>
        </w:rPr>
        <w:t xml:space="preserve">Judicial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