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13754</w:t>
        <w:t xml:space="preserve">.  </w:t>
      </w:r>
      <w:r>
        <w:rPr>
          <w:b/>
        </w:rPr>
        <w:t xml:space="preserve">Violations and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No pharmacy licensed pursuant to </w:t>
      </w:r>
      <w:r>
        <w:t>section 13751</w:t>
      </w:r>
      <w:r>
        <w:t xml:space="preserve"> may be operated until a license has been issued to that facility by the board.  Any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w:pPr>
        <w:jc w:val="both"/>
        <w:spacing w:before="100" w:after="0"/>
        <w:ind w:start="360"/>
        <w:ind w:firstLine="360"/>
      </w:pPr>
      <w:r>
        <w:rPr>
          <w:b/>
        </w:rPr>
        <w:t>2</w:t>
        <w:t xml:space="preserve">.  </w:t>
      </w:r>
      <w:r>
        <w:rPr>
          <w:b/>
        </w:rPr>
        <w:t xml:space="preserve">Reinstatement.</w:t>
        <w:t xml:space="preserve"> </w:t>
      </w:r>
      <w:r>
        <w:t xml:space="preserve"> </w:t>
      </w:r>
      <w:r>
        <w:t xml:space="preserve">Reinstatement of a license that has been suspended, revoked or restricted by the board may be granted in accordance with the procedures specified by </w:t>
      </w:r>
      <w:r>
        <w:t>section 13743,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