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Termination of employment or agreement</w:t>
      </w:r>
    </w:p>
    <w:p>
      <w:pPr>
        <w:jc w:val="both"/>
        <w:spacing w:before="100" w:after="100"/>
        <w:ind w:start="360"/>
        <w:ind w:firstLine="360"/>
      </w:pPr>
      <w:r>
        <w:rPr/>
      </w:r>
      <w:r>
        <w:rPr/>
      </w:r>
      <w:r>
        <w:t xml:space="preserve">Within 10 days after terminating employment or a contractual agreement with a licensed fire sprinkler system contractor the certified responsible managing supervisor involved shall notify the commissioner of that fact.</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 Termination of employment 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Termination of employment 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 TERMINATION OF EMPLOYMENT 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