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§13799. CONSUMER CHOICE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