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 ACCESS TO DISTRIBUTED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