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14035</w:t>
        <w:t xml:space="preserve">.  </w:t>
      </w:r>
      <w:r>
        <w:rPr>
          <w:b/>
        </w:rPr>
        <w:t xml:space="preserve">Certified general real property appraiser</w:t>
      </w:r>
    </w:p>
    <w:p>
      <w:pPr>
        <w:jc w:val="both"/>
        <w:spacing w:before="100" w:after="0"/>
        <w:ind w:start="360"/>
        <w:ind w:firstLine="360"/>
      </w:pPr>
      <w:r>
        <w:rPr>
          <w:b/>
        </w:rPr>
        <w:t>1</w:t>
        <w:t xml:space="preserve">.  </w:t>
      </w:r>
      <w:r>
        <w:rPr>
          <w:b/>
        </w:rPr>
        <w:t xml:space="preserve">Scope of license.</w:t>
        <w:t xml:space="preserve"> </w:t>
      </w:r>
      <w:r>
        <w:t xml:space="preserve"> </w:t>
      </w:r>
      <w:r>
        <w:t xml:space="preserve">A certified general real property appraiser license entitles the holder to appraise all types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§6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certified general real property appraiser license must meet the licensing requirements established by the appraiser qualifications board.  As a prerequisite to taking the examination required by </w:t>
      </w:r>
      <w:r>
        <w:t>section 14035‑A</w:t>
      </w:r>
      <w:r>
        <w:t xml:space="preserve">, an applicant must meet the requirements specified in rules adopted by the appraiser qualifications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§5 (RP); PL 2013, c. 547,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D, §1 (AMD).]</w:t>
      </w:r>
    </w:p>
    <w:p>
      <w:pPr>
        <w:jc w:val="both"/>
        <w:spacing w:before="100" w:after="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§6 (RP);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§6 (NEW). PL 2011, c. 286, Pt. L, §3 (AMD). PL 2013, c. 547, §§5, 6 (AMD). PL 2013, c. 547, §19 (AFF). PL 2019, c. 503,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§14035. Certified general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§14035. Certified general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§14035. CERTIFIED GENERAL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