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14044</w:t>
        <w:t xml:space="preserve">.  </w:t>
      </w:r>
      <w:r>
        <w:rPr>
          <w:b/>
        </w:rPr>
        <w:t xml:space="preserve">License renewal</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14045</w:t>
      </w:r>
      <w:r>
        <w:t xml:space="preserve">. Licenses may be renewed up to 90 days after the date of expiration upon payment of a late fee, as set under </w:t>
      </w:r>
      <w:r>
        <w:t>section 14045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100"/>
        <w:ind w:start="360"/>
        <w:ind w:firstLine="360"/>
      </w:pPr>
      <w:r>
        <w:rPr/>
      </w:r>
      <w:r>
        <w:rPr/>
      </w:r>
      <w:r>
        <w:t xml:space="preserve">The board shall deny a renewal license to any applicant whose license has lapsed for more than 90 days unless the applicant satisfies the provisions governing new applicants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§1 (RP). PL 2017, c. 475, Pt. D, §1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§14044.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§14044.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§14044.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