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14059</w:t>
        <w:t xml:space="preserve">.  </w:t>
      </w:r>
      <w:r>
        <w:rPr>
          <w:b/>
        </w:rPr>
        <w:t xml:space="preserve">Rules</w:t>
      </w:r>
    </w:p>
    <w:p>
      <w:pPr>
        <w:jc w:val="both"/>
        <w:spacing w:before="100" w:after="100"/>
        <w:ind w:start="360"/>
        <w:ind w:firstLine="360"/>
      </w:pPr>
      <w:r>
        <w:rPr/>
      </w:r>
      <w:r>
        <w:rPr/>
      </w:r>
      <w:r>
        <w:t xml:space="preserve">The superintendent may adopt rules to administer the provisions of this chapter for the protection of client companies, including rules regarding the ability of the Bureau of Consumer Credit Protection to receive and respond to complaints.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