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14235</w:t>
        <w:t xml:space="preserve">.  </w:t>
      </w:r>
      <w:r>
        <w:rPr>
          <w:b/>
        </w:rPr>
        <w:t xml:space="preserve">Licenses; renewal</w:t>
      </w:r>
    </w:p>
    <w:p>
      <w:pPr>
        <w:jc w:val="both"/>
        <w:spacing w:before="100" w:after="100"/>
        <w:ind w:start="360"/>
        <w:ind w:firstLine="360"/>
      </w:pPr>
      <w:r>
        <w:rPr/>
      </w:r>
      <w:r>
        <w:rPr/>
      </w:r>
      <w:r>
        <w:t xml:space="preserve">Licensees must renew their licenses by filing an application and paying the renewal fee as set under </w:t>
      </w:r>
      <w:r>
        <w:t>section 14238</w:t>
      </w:r>
      <w:r>
        <w:t xml:space="preserve">.  The expiration dates for licenses issued under this chapter may be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373, §42 (AMD).]</w:t>
      </w:r>
    </w:p>
    <w:p>
      <w:pPr>
        <w:jc w:val="both"/>
        <w:spacing w:before="100" w:after="100"/>
        <w:ind w:start="360"/>
        <w:ind w:firstLine="360"/>
      </w:pPr>
      <w:r>
        <w:rPr/>
      </w:r>
      <w:r>
        <w:rPr/>
      </w:r>
      <w:r>
        <w:t xml:space="preserve">A license may be renewed up to 90 days after the date of its expiration upon payment of a late fee as set under </w:t>
      </w:r>
      <w:r>
        <w:t>section 14238</w:t>
      </w:r>
      <w:r>
        <w:t xml:space="preserve"> in addition to the renewal fee.  Any person who submits an application for renewal more than 90 days after the license expiration date is subject to all requirements governing new applicants under this chapter, including a late fee, renewal fee and additional late fee as set under section 14238, except that the director, after giving due consideration to the protection of the public, may waive requirements.</w:t>
      </w:r>
      <w:r>
        <w:t xml:space="preserve">  </w:t>
      </w:r>
      <w:r xmlns:wp="http://schemas.openxmlformats.org/drawingml/2010/wordprocessingDrawing" xmlns:w15="http://schemas.microsoft.com/office/word/2012/wordml">
        <w:rPr>
          <w:rFonts w:ascii="Arial" w:hAnsi="Arial" w:cs="Arial"/>
          <w:sz w:val="22"/>
          <w:szCs w:val="22"/>
        </w:rPr>
        <w:t xml:space="preserve">[PL 2009, c. 369, Pt. B, §33 (AMD).]</w:t>
      </w:r>
    </w:p>
    <w:p>
      <w:pPr>
        <w:jc w:val="both"/>
        <w:spacing w:before="100" w:after="100"/>
        <w:ind w:start="360"/>
        <w:ind w:firstLine="360"/>
      </w:pPr>
      <w:r>
        <w:rPr/>
      </w:r>
      <w:r>
        <w:rPr/>
      </w:r>
      <w:r>
        <w:t xml:space="preserve">Notwithstanding any other provision of this chapter, the director must waive examination if a renewal application is made by a person within 90 days after separation from the United States Armed Forces, under conditions other than dishonorable, if that person failed to renew a license because of active duty in the armed forces.  The waiver of examination may not be granted if the person served more than 4 years in the armed forces, unless evidence is presented to demonstrate that the applicant was required by law to serve that period.</w:t>
      </w:r>
      <w:r>
        <w:t xml:space="preserve">  </w:t>
      </w:r>
      <w:r xmlns:wp="http://schemas.openxmlformats.org/drawingml/2010/wordprocessingDrawing" xmlns:w15="http://schemas.microsoft.com/office/word/2012/wordml">
        <w:rPr>
          <w:rFonts w:ascii="Arial" w:hAnsi="Arial" w:cs="Arial"/>
          <w:sz w:val="22"/>
          <w:szCs w:val="22"/>
        </w:rPr>
        <w:t xml:space="preserve">[PL 2009, c. 369,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§22 (AMD). PL 2009, c. 369, Pt. B, §33 (AMD). PL 2011, c. 286, Pt. M, §28 (AMD). PL 2019, c. 373,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§14235. Licenses;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§14235. Licenses;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§14235. LICENSES;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