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14248</w:t>
        <w:t xml:space="preserve">.  </w:t>
      </w:r>
      <w:r>
        <w:rPr>
          <w:b/>
        </w:rPr>
        <w:t xml:space="preserve">On-site evaluations</w:t>
      </w:r>
    </w:p>
    <w:p>
      <w:pPr>
        <w:jc w:val="both"/>
        <w:spacing w:before="100" w:after="100"/>
        <w:ind w:start="360"/>
        <w:ind w:firstLine="360"/>
      </w:pPr>
      <w:r>
        <w:rPr/>
      </w:r>
      <w:r>
        <w:rPr/>
      </w:r>
      <w:r>
        <w:t xml:space="preserve">The director may conduct biennial on-site evaluations of schools to ensure compliance with this subchapter and applicable rules.  The expense of the on-site evaluation must be borne by the school examined.</w:t>
      </w:r>
      <w:r>
        <w:t xml:space="preserve">  </w:t>
      </w:r>
      <w:r xmlns:wp="http://schemas.openxmlformats.org/drawingml/2010/wordprocessingDrawing" xmlns:w15="http://schemas.microsoft.com/office/word/2012/wordml">
        <w:rPr>
          <w:rFonts w:ascii="Arial" w:hAnsi="Arial" w:cs="Arial"/>
          <w:sz w:val="22"/>
          <w:szCs w:val="22"/>
        </w:rPr>
        <w:t xml:space="preserve">[PL 2019, c. 373,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2009, c. 369, Pt. B, §40 (AMD). PL 2019, c. 373,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§14248. On-site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§14248. On-site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§14248. ON-SITE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