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15201</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and visitors from unnecessary mechanical hazards in the operation of elevators and tramways and to ensure that reasonable design and construction are used, that accepted safety devices and sufficient personnel are provided and that periodic maintenance, inspections and adjustments considered essential for the safe operation of elevators and tramways are made.  The responsibility for design, construction, maintenance and inspection rests with the firm, person, partnership, association, corporation or company that owns elevators or tramways.</w:t>
      </w:r>
      <w:r>
        <w:t xml:space="preserve">  </w:t>
      </w:r>
      <w:r xmlns:wp="http://schemas.openxmlformats.org/drawingml/2010/wordprocessingDrawing" xmlns:w15="http://schemas.microsoft.com/office/word/2012/wordml">
        <w:rPr>
          <w:rFonts w:ascii="Arial" w:hAnsi="Arial" w:cs="Arial"/>
          <w:sz w:val="22"/>
          <w:szCs w:val="22"/>
        </w:rPr>
        <w:t xml:space="preserve">[PL 2001, c. 573, Pt. B, §1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