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15219</w:t>
        <w:t xml:space="preserve">.  </w:t>
      </w:r>
      <w:r>
        <w:rPr>
          <w:b/>
        </w:rPr>
        <w:t xml:space="preserve">Hang gliding</w:t>
      </w:r>
    </w:p>
    <w:p>
      <w:pPr>
        <w:jc w:val="both"/>
        <w:spacing w:before="100" w:after="100"/>
        <w:ind w:start="360"/>
        <w:ind w:firstLine="360"/>
      </w:pPr>
      <w:r>
        <w:rPr/>
      </w:r>
      <w:r>
        <w:rPr/>
      </w:r>
      <w:r>
        <w:t xml:space="preserve">Hang gliding is also recognized as a hazardous sport. Therefore, a person who is hang gliding is deemed to have assumed the risk and legal responsibility for any injury to the hang glider's person or property in the same manner and to the same extent as skiers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§15219. HANG 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