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1525</w:t>
        <w:t xml:space="preserve">.  </w:t>
      </w:r>
      <w:r>
        <w:rPr>
          <w:b/>
        </w:rPr>
        <w:t xml:space="preserve">License required</w:t>
      </w:r>
    </w:p>
    <w:p>
      <w:pPr>
        <w:jc w:val="both"/>
        <w:spacing w:before="100" w:after="100"/>
        <w:ind w:start="360"/>
        <w:ind w:firstLine="360"/>
      </w:pPr>
      <w:r>
        <w:rPr/>
      </w:r>
      <w:r>
        <w:rPr/>
      </w:r>
      <w:r>
        <w:t xml:space="preserve">A person may not provide interpreting services as defined in this chapter for compensation or remuneration unless properly licensed in accordance with this chapter.  This section also applies to a person providing video-based interpreting services in which one or more participants are physically located in the State and the person providing the services does not meet the exemptions as set out under </w:t>
      </w:r>
      <w:r>
        <w:t>section 1525‑A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 PL 1999, c. 399, §12 (AMD). PL 1999, c. 399, §20 (AFF). PL 2019, c. 284,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§1525.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§1525.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§1525.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