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1985, c. 506, §A67 (AMD). PL 1987, c. 395, §A146 (AMD). PL 1989, c. 162, §3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§1552.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