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§16503. Evidentiary burden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§16503. EVIDENTIARY BURDEN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