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§16525. Payment of restitution assistance;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§16525. PAYMENT OF RESTITUTION ASSISTANCE;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