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16533</w:t>
        <w:t xml:space="preserve">.  </w:t>
      </w:r>
      <w:r>
        <w:rPr>
          <w:b/>
        </w:rPr>
        <w:t xml:space="preserve">Suspension of payment</w:t>
      </w:r>
    </w:p>
    <w:p>
      <w:pPr>
        <w:jc w:val="both"/>
        <w:spacing w:before="100" w:after="100"/>
        <w:ind w:start="360"/>
        <w:ind w:firstLine="360"/>
      </w:pPr>
      <w:r>
        <w:rPr/>
      </w:r>
      <w:r>
        <w:rPr/>
      </w:r>
      <w:r>
        <w:t xml:space="preserve">If payment of restitution assistance under this subchapter would result in a fund balance below $250,000, the administrator may suspend payment of claims or prorate payment of claims at the administrator's discretion until such time as the administrator determines a sufficient balance has been restored to the fund.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§16533. Suspension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§16533. Suspension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§16533. SUSPENSION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