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16609</w:t>
        <w:t xml:space="preserve">.  </w:t>
      </w:r>
      <w:r>
        <w:rPr>
          <w:b/>
        </w:rPr>
        <w:t xml:space="preserve">Judicial review</w:t>
      </w:r>
    </w:p>
    <w:p>
      <w:pPr>
        <w:jc w:val="both"/>
        <w:spacing w:before="100" w:after="0"/>
        <w:ind w:start="360"/>
        <w:ind w:firstLine="360"/>
      </w:pPr>
      <w:r>
        <w:rPr>
          <w:b/>
        </w:rPr>
        <w:t>1</w:t>
        <w:t xml:space="preserve">.  </w:t>
      </w:r>
      <w:r>
        <w:rPr>
          <w:b/>
        </w:rPr>
        <w:t xml:space="preserve">Judicial review of orders.</w:t>
        <w:t xml:space="preserve"> </w:t>
      </w:r>
      <w:r>
        <w:t xml:space="preserve"> </w:t>
      </w:r>
      <w:r>
        <w:t xml:space="preserve">Notwithstanding </w:t>
      </w:r>
      <w:r>
        <w:t>Title 10, section 8003, subsection 5</w:t>
      </w:r>
      <w:r>
        <w:t xml:space="preserve">, any person aggrieved by a final order of the administrator may obtain judicial review of the order in the Superior Court of Kennebec County by filing a petition in accordance with </w:t>
      </w:r>
      <w:r>
        <w:t>Title 5, section 11001</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Judicial review of rules.</w:t>
        <w:t xml:space="preserve"> </w:t>
      </w:r>
      <w:r>
        <w:t xml:space="preserve"> </w:t>
      </w:r>
      <w:r>
        <w:t xml:space="preserve">A rule adopted under this chapter is subject to judicial review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