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§16613. ADMINISTRATIVE DETERMINATION OF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