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17310</w:t>
        <w:t xml:space="preserve">.  </w:t>
      </w:r>
      <w:r>
        <w:rPr>
          <w:b/>
        </w:rPr>
        <w:t xml:space="preserve">Inactive status</w:t>
      </w:r>
    </w:p>
    <w:p>
      <w:pPr>
        <w:jc w:val="both"/>
        <w:spacing w:before="100" w:after="100"/>
        <w:ind w:start="360"/>
        <w:ind w:firstLine="360"/>
      </w:pPr>
      <w:r>
        <w:rPr/>
      </w:r>
      <w:r>
        <w:rPr/>
      </w:r>
      <w:r>
        <w:t xml:space="preserve">The board shall adopt rules that provide that an individual licensed under this chapter may, upon written request, be placed on inactive status.  The board may place the licensee on inactive status only upon proper application by the licensee. During inactive status, the licensee must renew the license and pay the license fees as set under </w:t>
      </w:r>
      <w:r>
        <w:t>section 17309</w:t>
      </w:r>
      <w:r>
        <w:t xml:space="preserve">, but is not required to meet the continuing education requirements under </w:t>
      </w:r>
      <w:r>
        <w:t>section 17308</w:t>
      </w:r>
      <w:r>
        <w:t xml:space="preserve">. The board shall adopt rules by which a license in an inactive status may be reactivated.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§17310. Inactive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§17310. Inactive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§17310. INACTIVE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