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Disposal of fines and fees</w:t>
      </w:r>
    </w:p>
    <w:p>
      <w:pPr>
        <w:jc w:val="both"/>
        <w:spacing w:before="100" w:after="100"/>
        <w:ind w:start="360"/>
        <w:ind w:firstLine="360"/>
      </w:pPr>
      <w:r>
        <w:rPr/>
      </w:r>
      <w:r>
        <w:rPr/>
      </w:r>
      <w:r>
        <w:t xml:space="preserve">All fees received by the Commissioner of Agriculture, Conservation and Forestry under this chapter, and all money and fines received by him under this chapter, by virtue of </w:t>
      </w:r>
      <w:r>
        <w:t>Title 7, sections 13</w:t>
      </w:r>
      <w:r>
        <w:t xml:space="preserve"> and </w:t>
      </w:r>
      <w:r>
        <w:t>15</w:t>
      </w:r>
      <w:r>
        <w:t xml:space="preserve">, shall be paid by him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Disposal of fines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Disposal of fines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§1804. DISPOSAL OF FINES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