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18539</w:t>
        <w:t xml:space="preserve">.  </w:t>
      </w:r>
      <w:r>
        <w:rPr>
          <w:b/>
        </w:rPr>
        <w:t xml:space="preserve">Rulemaking</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rule is invalid and has no force or effect only if a court of competent jurisdiction holds that the rule is invalid because the commission exercised its rule-making authority in a manner that is beyond the scope of the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Rule conflict with law.</w:t>
        <w:t xml:space="preserve"> </w:t>
      </w:r>
      <w:r>
        <w:t xml:space="preserve"> </w:t>
      </w:r>
      <w:r>
        <w:t xml:space="preserve">The rules of the commission have the force of law in each participating state, except that where the rules of the commission conflict with the laws of the participating state that establish the medical services a physician assistant may perform in the participating state,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by enactment of a statute or resolution in the same manner used to adopt the compact within 4 years of the date of adoption of the rule, that rule has no further force and effect in any participating state or in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6</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7</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on the proposed rule and 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or provide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Public comment.</w:t>
        <w:t xml:space="preserve"> </w:t>
      </w:r>
      <w:r>
        <w:t xml:space="preserve"> </w:t>
      </w:r>
      <w:r>
        <w:t xml:space="preserve">Prior to adoption of a proposed rule, the commission shall allow interested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Hearing by electronic means; notice.</w:t>
        <w:t xml:space="preserve"> </w:t>
      </w:r>
      <w:r>
        <w:t xml:space="preserve"> </w:t>
      </w:r>
      <w:r>
        <w:t xml:space="preserve">If a hearing under this section is held via electronic means, the commission shall publish the mechanism for access to the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hearings must be recorded.  A copy of the recording and the written data, facts, opinions and arguments received in response to the proposed rulemaking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a public hearing under this section, the commission shall consider all written and oral comments timely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adopted, based on the rule-making record and the full text of the rule.</w:t>
      </w:r>
    </w:p>
    <w:p>
      <w:pPr>
        <w:jc w:val="both"/>
        <w:spacing w:before="100" w:after="0"/>
        <w:ind w:start="720"/>
      </w:pPr>
      <w:r>
        <w:rPr/>
        <w:t>A</w:t>
        <w:t xml:space="preserve">.  </w:t>
      </w:r>
      <w:r>
        <w:rPr/>
      </w:r>
      <w:r>
        <w:t xml:space="preserve">If adopted, the rule must be posted on the commission's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may adopt changes to the proposed rule as long as the changes do not broaden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persons who submitted comments described in subsection 10.</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The commission shall determine a reasonable effective date for the rule. Except for an emergency as provided in </w:t>
      </w:r>
      <w:r>
        <w:t>subsection 12</w:t>
      </w:r>
      <w:r>
        <w:t xml:space="preserve">, the effective date of the rule may not be earlier than 30 days after the commission issues the notice that it has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Prevent a loss of commission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as set forth in the notice of revisions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