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18556</w:t>
        <w:t xml:space="preserve">.  </w:t>
      </w:r>
      <w:r>
        <w:rPr>
          <w:b/>
        </w:rPr>
        <w:t xml:space="preserve">Obtaining a new home state license based on a privilege to practice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 licensed professional counselor may hold a home state license that allows for a privilege to practice in other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Change of primary state of residence.</w:t>
        <w:t xml:space="preserve"> </w:t>
      </w:r>
      <w:r>
        <w:t xml:space="preserve"> </w:t>
      </w:r>
      <w:r>
        <w:t xml:space="preserve">If a licensed professional counselor changes the primary state of residence by moving between 2 member states:</w:t>
      </w:r>
    </w:p>
    <w:p>
      <w:pPr>
        <w:jc w:val="both"/>
        <w:spacing w:before="100" w:after="0"/>
        <w:ind w:start="720"/>
      </w:pPr>
      <w:r>
        <w:rPr/>
        <w:t>A</w:t>
        <w:t xml:space="preserve">.  </w:t>
      </w:r>
      <w:r>
        <w:rPr/>
      </w:r>
      <w:r>
        <w:t xml:space="preserve">The licensed professional counselor shall file an application for obtaining a new home state license based on a privilege to practice, pay all applicable fees and notify the current and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Upon receipt of an application for obtaining a new home state license by virtue of a privilege to practice, the new home state shall verify that the licensed professional counselor meets the pertinent criteria outlined in </w:t>
      </w:r>
      <w:r>
        <w:t>section 18555</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Public Law 92-544;</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Completion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former home state shall convert the former home state license into a privilege to practice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Notwithstanding any other provision of this compact, if the licensed professional counselor cannot meet the criteria in </w:t>
      </w:r>
      <w:r>
        <w:t>section 18555</w:t>
      </w:r>
      <w:r>
        <w:t xml:space="preserve">, the new home state may apply its requirements for issuing a new single-state license;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licensed professional counselor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 nonmember states.</w:t>
        <w:t xml:space="preserve"> </w:t>
      </w:r>
      <w:r>
        <w:t xml:space="preserve"> </w:t>
      </w:r>
      <w:r>
        <w:t xml:space="preserve">If a licensed professional counselor changes the primary state of residence by moving from a member state to a nonmember state, or from a nonmember state to a member state, the state criteria applies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Single-state licenses.</w:t>
        <w:t xml:space="preserve"> </w:t>
      </w:r>
      <w:r>
        <w:t xml:space="preserve"> </w:t>
      </w:r>
      <w:r>
        <w:t xml:space="preserve">Nothing in this compact interferes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§18556. Obtaining a new home state license based on a privilege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§18556. Obtaining a new home state license based on a privilege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§18556. OBTAINING A NEW HOME STATE LICENSE BASED ON A PRIVILEGE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